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Transparentność wynagrodzeń i luka płacowa w praktyce – ostatni miesiąc przed zmianami</w:t>
      </w:r>
    </w:p>
    <w:p w:rsidR="00000000" w:rsidDel="00000000" w:rsidP="00000000" w:rsidRDefault="00000000" w:rsidRPr="00000000" w14:paraId="00000002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Tydzień przed zakończeniem roku w życie wejdzie nowelizacja Kodeksu pracy, która na zawsze zmieni sposób mówienia o płacach w polskich firmach. Nowe obowiązki nie są jedynie formalnością – to początek kulturowej zmiany w podejściu do wynagrodzeń, równości płci i zarządzania reputacją pracodawcy. Czy polskie organizacje są na to gotowe? O tym jak przygotować firmę do wymogów transparentności wynagrodzeń i luce płacowej mówią dr Justyna Berniak-Woźny z Wydziału Interdyscyplinarnego w Krakowie Uniwersytetu SWPS i Barbara Stolorz, founderka i CEO startupu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Levelly.a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i, biorącego udział w programie akceleracyjnym Startup Booster for Social Impact Uniwersytetu SWPS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24 grudnia 2025 roku wchodzi w życie nowelizacja Kodeksu pracy (ustawa z 4 czerwca 2025 r.)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0"/>
          <w:szCs w:val="20"/>
          <w:rtl w:val="0"/>
        </w:rPr>
        <w:t xml:space="preserve">, która wprowadzi kluczowe obowiązki dotyczące transparentności wynagrodzeń. To efekt implementacji unijnej Dyrektywy Parlamentu Europejskiego i Rady (UE) 2023/970 z 10 maja 2023 r.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sz w:val="20"/>
          <w:szCs w:val="20"/>
          <w:rtl w:val="0"/>
        </w:rPr>
        <w:t xml:space="preserve">, mającej na celu wzmocnienie stosowania zasady równego wynagrodzenia kobiet i mężczyzn za taką samą pracę.</w:t>
      </w:r>
    </w:p>
    <w:p w:rsidR="00000000" w:rsidDel="00000000" w:rsidP="00000000" w:rsidRDefault="00000000" w:rsidRPr="00000000" w14:paraId="0000000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Dla polskich firm oznacza to nie tylko nowe wymogi prawne, ale przede wszystkim konieczność głębokiej rewizji polityki płacowej i przygotowania się na kulturową zmianę w podejściu do wynagrodzeń. Wbrew obiegowym opiniom, transparentność płac niesie również wymierne korzyści dla pracodawców – badania pokazują, że aż 89 proc. kandydatów oczekuje podania widełek płacowych już w ogłoszeniu o pracę.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Transparentność wynagrodzeń to nie tylko kwestia zgodności z prawem, ale kluczowy element ładu korporacyjnego w ramach ESG. Firmy, które odważą się otworzyć na dialog o płacach, wysyłają jasny sygnał: jesteśmy organizacją, która szanuje równość, uczciwość i zaufanie – wartości niezbędne w zrównoważonym biznesie – tłumaczy dr Justyna Berniak-Woźny, dr Justyna Berniak-Woźny, ekspertka ds. ESG i procesowego podejścia do zrównoważonego rozwoju z Wydziału Interdyscyplinarnego w Krakowie Uniwersytetu SWPS.</w:t>
      </w:r>
    </w:p>
    <w:p w:rsidR="00000000" w:rsidDel="00000000" w:rsidP="00000000" w:rsidRDefault="00000000" w:rsidRPr="00000000" w14:paraId="0000000A">
      <w:pPr>
        <w:spacing w:before="1" w:line="300" w:lineRule="auto"/>
        <w:ind w:left="0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Najważniejsze obowiązki dla firm od grudnia 2025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Pracodawcy będą zobowiązani do informowania kandydatów o wynagrodzeniu – w postaci konkretnej kwoty lub określonego przedziału – możliwie najwcześniej, najlepiej już w ogłoszeniu rekrutacyjnym. Zgodnie z nowym brzmieniem przepisów, pracodawca nie będzie mógł pytać kandydatki lub kandydata o wysokość wynagrodzenia otrzymywanego w poprzednich miejscach zatrudnienia. </w:t>
        <w:br w:type="textWrapping"/>
        <w:br w:type="textWrapping"/>
        <w:t xml:space="preserve">Nowy art. 183c Kodeksu pracy daje pracownikom prawo do złożenia wniosku o ujawnienie średniego wynagrodzenia na podobnych stanowiskach, a pracodawca będzie miał 14 dni na udzielenie odpowiedzi. Dodatkowo klauzule poufności wynagrodzeń zostaną zakazane.</w:t>
      </w:r>
    </w:p>
    <w:p w:rsidR="00000000" w:rsidDel="00000000" w:rsidP="00000000" w:rsidRDefault="00000000" w:rsidRPr="00000000" w14:paraId="0000000D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Skala problemu – luka płacowa w liczbach</w:t>
      </w:r>
    </w:p>
    <w:p w:rsidR="00000000" w:rsidDel="00000000" w:rsidP="00000000" w:rsidRDefault="00000000" w:rsidRPr="00000000" w14:paraId="0000000F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Według najnowszych danych Eurostatu, średnia luka płacowa w Unii Europejskiej wynosi ok. 12 proc.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3"/>
      </w:r>
      <w:r w:rsidDel="00000000" w:rsidR="00000000" w:rsidRPr="00000000">
        <w:rPr>
          <w:sz w:val="20"/>
          <w:szCs w:val="20"/>
          <w:rtl w:val="0"/>
        </w:rPr>
        <w:t xml:space="preserve"> – oznacza to, że kobiety zarabiają przeciętnie o tyle mniej niż mężczyźni za pracę tej samej wartości. Polska wypada nieco lepiej na tle wspólnoty, jednak różnica w wynagrodzeniach nadal sięga od 4,5 do 8,5 proc., w zależności od przyjętej metodologii.</w:t>
      </w:r>
    </w:p>
    <w:p w:rsidR="00000000" w:rsidDel="00000000" w:rsidP="00000000" w:rsidRDefault="00000000" w:rsidRPr="00000000" w14:paraId="00000010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 danych Głównego Urzędu Statystycznego z kwietnia 2025 r. wynika, że przeciętny Polak zarabiał 9593,52 zł, natomiast przeciętna Polka 8690,04 zł. Różnica przeciętnego wynagrodzenia między kobietami i mężczyznami wyniosła więc 903,48 zł miesięcznie. Dane GUS wskazują również na znaczące różnice w wynagrodzeniach najlepiej zarabiających. W kwietniu 2025 roku 10 proc. najlepiej zarabiających mężczyzn otrzymywało wynagrodzenie w wysokości co najmniej 15 232,85 zł, podczas gdy 10 proc. najlepiej zarabiających kobiet – co najmniej 13 271,81 zł, co oznacza różnicę przekraczającą 1960 zł.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4"/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Równość płacowa nie jest kosztem – to inwestycja w kapitał społeczny organizacji. Pracownicy, którzy widzą, że firma działa sprawiedliwie, wykazują większe zaangażowanie, lojalność i innowacyjność. A to bezpośrednio przekłada się na długofalową efektywność i odporność biznesu – podkreśla ekspertka. </w:t>
      </w:r>
    </w:p>
    <w:p w:rsidR="00000000" w:rsidDel="00000000" w:rsidP="00000000" w:rsidRDefault="00000000" w:rsidRPr="00000000" w14:paraId="00000015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Jak przygotować firmę na nową rzeczywistość?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Proces wdrożenia transparentności warto rozpocząć od sześciu kluczowych kroków: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1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Przeprowadzić audyt wynagrodzeń i zidentyfikować potencjalne luki płacowe.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Ustalić obiektywne widełki płacowe oparte na kompetencjach i odpowiedzialności.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Dostosować procesy rekrutacyjne i przeszkolić zespoły HR.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Komunikować zmiany wewnętrznie, wyjaśniając pracownikom ich nowe prawa.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Wdrożyć systemy raportowania – szczególnie w firmach zatrudniających ponad 100 osób.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before="0" w:beforeAutospacing="0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Zaktualizować dokumentację i usunąć zapisy o poufności wynagrodzeń.</w:t>
      </w:r>
    </w:p>
    <w:p w:rsidR="00000000" w:rsidDel="00000000" w:rsidP="00000000" w:rsidRDefault="00000000" w:rsidRPr="00000000" w14:paraId="0000001E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Firmy, które nie czekają do grudnia, ale już dziś analizują i dostosowują swoje systemy wynagradzania, budują zaufanie i przewagę wizerunkową. Transparentność płac stanie się wkrótce nowym standardem rynkowym – podobnie jak raportowanie ESG jeszcze kilka lat temu – wyjaśnia dr Justyna Berniak-Woźny. </w:t>
      </w:r>
    </w:p>
    <w:p w:rsidR="00000000" w:rsidDel="00000000" w:rsidP="00000000" w:rsidRDefault="00000000" w:rsidRPr="00000000" w14:paraId="00000020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Nowoczesne wsparcie technologiczne dla transparentności płac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Coraz więcej firm sięga po nowoczesne narzędzia technologiczne, które wspierają analizę i eliminację nierówności płacowych. Trend ten wpisuje się nie tylko w ideę transparentności wynagrodzeń, ale również w wymogi filarów „S” (Social) i „G” (Governance) w ramach raportowania ESG. Jednym z przykładów innowacyjnych rozwiązań jest polski start-up Levelly.ai, stworzony z myślą analizie danych dotyczących wynagrodzeń i redukcji luki płacowej w organizacjach. Platforma wykorzystuje sztuczną inteligencję do generowania rekomendacji zmian oraz analiz predykcyjn</w:t>
      </w:r>
      <w:r w:rsidDel="00000000" w:rsidR="00000000" w:rsidRPr="00000000">
        <w:rPr>
          <w:sz w:val="20"/>
          <w:szCs w:val="20"/>
          <w:rtl w:val="0"/>
        </w:rPr>
        <w:t xml:space="preserve">ych.</w:t>
      </w:r>
      <w:r w:rsidDel="00000000" w:rsidR="00000000" w:rsidRPr="00000000">
        <w:rPr>
          <w:sz w:val="20"/>
          <w:szCs w:val="20"/>
          <w:rtl w:val="0"/>
        </w:rPr>
        <w:t xml:space="preserve"> Start-up Levelly.ai został również finalistą programu Startup Booster for Social Impact Uniwersytetu SWPS, który wspiera młode firmy i organizacje rozwijające rozwiązania o pozytywnym wpływie społecznym lub na środowisko naturalne. Projekt opracowany przez zespół ekspertów Centrum Transferu Wiedzy USWPS pomaga urzeczywistnić dziesiątki innowacyjnych pomysłów przynoszących korzyści społeczne i środowiskowe. Program jest wspierany przez Polską Agencję Rozwoju Przedsiębiorczości (PARP) w ramach Funduszy Europejskich dla Nowoczesnej Gospodarki (FENG).</w:t>
      </w:r>
    </w:p>
    <w:p w:rsidR="00000000" w:rsidDel="00000000" w:rsidP="00000000" w:rsidRDefault="00000000" w:rsidRPr="00000000" w14:paraId="00000022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Platforma Levelly.ai to proste w obsłudze narzędzie, które w kilka sekund generuje raporty, rekomendacje i predykcje z danych firmowych. Identyfikuje ukryte wzorce nierówności i na bieżąco prognozuje zmiany wynikające z decyzji kadrowych. Rzetelne dane to najlepszy punkt wyjścia do optymalnego przygotowania firmy do nadchodzących zmian – mówi Barbara Stolorz, Founderka i CEO Levelly.ai.</w:t>
      </w:r>
    </w:p>
    <w:p w:rsidR="00000000" w:rsidDel="00000000" w:rsidP="00000000" w:rsidRDefault="00000000" w:rsidRPr="00000000" w14:paraId="00000024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Levelly.ai proponuje bezpłatną analizę próbki danych po rejestracji na platformie. Platforma korzysta z danych udostępnionych przez API lub przesłanych bezpośrednio. </w:t>
      </w:r>
    </w:p>
    <w:p w:rsidR="00000000" w:rsidDel="00000000" w:rsidP="00000000" w:rsidRDefault="00000000" w:rsidRPr="00000000" w14:paraId="0000002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Dla firm przygotowujących się do wdrożenia nowych obowiązków wynikających z Dyrektywy o transparentności wynagrodzeń, narzędzia takie jak Levelly.ai mogą stanowić realną przewagę konkurencyjną. Umożliwiają spełnienie wymogów regulacyjnych i pozwalają podejmować decyzje, które wzmacniają zaufania pracowników i reputację marki – elementów coraz częściej ocenianych w ramach strategii ESG.</w:t>
      </w:r>
    </w:p>
    <w:p w:rsidR="00000000" w:rsidDel="00000000" w:rsidP="00000000" w:rsidRDefault="00000000" w:rsidRPr="00000000" w14:paraId="00000028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1"/>
        <w:spacing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</w:p>
    <w:p w:rsidR="00000000" w:rsidDel="00000000" w:rsidP="00000000" w:rsidRDefault="00000000" w:rsidRPr="00000000" w14:paraId="0000002B">
      <w:pPr>
        <w:widowControl w:val="1"/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2D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2F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sectPr>
      <w:headerReference r:id="rId8" w:type="default"/>
      <w:headerReference r:id="rId9" w:type="first"/>
      <w:headerReference r:id="rId10" w:type="even"/>
      <w:footerReference r:id="rId11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Allura">
    <w:embedRegular w:fontKey="{00000000-0000-0000-0000-000000000000}" r:id="rId9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5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0635" cy="4367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1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4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1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8475" cy="186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4">
    <w:p w:rsidR="00000000" w:rsidDel="00000000" w:rsidP="00000000" w:rsidRDefault="00000000" w:rsidRPr="00000000" w14:paraId="00000031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hyperlink r:id="rId1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https://stat.gov.pl/</w:t>
        </w:r>
      </w:hyperlink>
      <w:r w:rsidDel="00000000" w:rsidR="00000000" w:rsidRPr="00000000">
        <w:rPr>
          <w:rtl w:val="0"/>
        </w:rPr>
      </w:r>
    </w:p>
  </w:footnote>
  <w:footnote w:id="0">
    <w:p w:rsidR="00000000" w:rsidDel="00000000" w:rsidP="00000000" w:rsidRDefault="00000000" w:rsidRPr="00000000" w14:paraId="00000036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hyperlink r:id="rId2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https://isap.sejm.gov.pl/isap.nsf/DocDetails.xsp?id=WDU20250000807</w:t>
        </w:r>
      </w:hyperlink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37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hyperlink r:id="rId3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https://eur-lex.europa.eu/eli/dir/2023/970/oj</w:t>
        </w:r>
      </w:hyperlink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038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hyperlink r:id="rId4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https://www.livecareer.pl/badania/jawnosc-wynagrodzen-w-polsce-badanie</w:t>
        </w:r>
      </w:hyperlink>
      <w:r w:rsidDel="00000000" w:rsidR="00000000" w:rsidRPr="00000000">
        <w:rPr>
          <w:rtl w:val="0"/>
        </w:rPr>
      </w:r>
    </w:p>
  </w:footnote>
  <w:footnote w:id="3">
    <w:p w:rsidR="00000000" w:rsidDel="00000000" w:rsidP="00000000" w:rsidRDefault="00000000" w:rsidRPr="00000000" w14:paraId="00000039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hyperlink r:id="rId5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https://www.europarl.europa.eu/</w:t>
        </w:r>
      </w:hyperlink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17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4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4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9" Type="http://schemas.openxmlformats.org/officeDocument/2006/relationships/font" Target="fonts/Allura-regular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stat.gov.pl/obszary-tematyczne/rynek-pracy/pracujacy-zatrudnieni-wynagrodzenia-koszty-pracy/rozklad-wynagrodzen-w-gospodarce-narodowej-w-kwietniu-2025-r-,32,16.html" TargetMode="External"/><Relationship Id="rId2" Type="http://schemas.openxmlformats.org/officeDocument/2006/relationships/hyperlink" Target="https://isap.sejm.gov.pl/isap.nsf/DocDetails.xsp?id=WDU20250000807" TargetMode="External"/><Relationship Id="rId3" Type="http://schemas.openxmlformats.org/officeDocument/2006/relationships/hyperlink" Target="https://eur-lex.europa.eu/eli/dir/2023/970/oj" TargetMode="External"/><Relationship Id="rId4" Type="http://schemas.openxmlformats.org/officeDocument/2006/relationships/hyperlink" Target="https://www.livecareer.pl/badania/jawnosc-wynagrodzen-w-polsce-badanie" TargetMode="External"/><Relationship Id="rId5" Type="http://schemas.openxmlformats.org/officeDocument/2006/relationships/hyperlink" Target="https://www.europarl.europa.eu/topics/pl/article/20200109STO69925/luka-placowa-miedzy-kobietami-a-mezczyznami-definicja-fakty-i-przyczyny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Qy/jnUpVQnQYvGA16uA4NnDg6w==">CgMxLjA4AGotChRzdWdnZXN0LmR3ZWExaWd0cXRtMxIVTWFydGEgRGFub3dza2EtS2lzaWVsai0KFHN1Z2dlc3QucnJpYnhqbjNyM3hwEhVNYXJ0YSBEYW5vd3NrYS1LaXNpZWxyITEtS2I4eldFNTNvbFIxT2lYSEpJMUhBcWxjcGRmVE90Rw==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